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13A3" w14:textId="77777777" w:rsidR="004C4726" w:rsidRDefault="004C4726" w:rsidP="004C4726">
      <w:pPr>
        <w:pStyle w:val="Heading1"/>
        <w:rPr>
          <w:lang w:val="en"/>
        </w:rPr>
      </w:pPr>
    </w:p>
    <w:p w14:paraId="28BEC4DD" w14:textId="2733691C" w:rsidR="004C4726" w:rsidRDefault="004C4726" w:rsidP="004C4726">
      <w:pPr>
        <w:pStyle w:val="Heading1"/>
        <w:rPr>
          <w:lang w:val="en"/>
        </w:rPr>
      </w:pPr>
      <w:r>
        <w:rPr>
          <w:lang w:val="en"/>
        </w:rPr>
        <w:t>What does the Chancellor's cost of living support mean for blind and partially sighted people?</w:t>
      </w:r>
    </w:p>
    <w:p w14:paraId="4E891A3D" w14:textId="77777777" w:rsidR="004C4726" w:rsidRDefault="004C4726" w:rsidP="004C4726">
      <w:pPr>
        <w:rPr>
          <w:lang w:val="en"/>
        </w:rPr>
      </w:pPr>
    </w:p>
    <w:p w14:paraId="39931AAB" w14:textId="06824476" w:rsidR="004C4726" w:rsidRDefault="004C4726" w:rsidP="004C4726">
      <w:pPr>
        <w:rPr>
          <w:lang w:val="en"/>
        </w:rPr>
      </w:pPr>
      <w:r>
        <w:rPr>
          <w:lang w:val="en"/>
        </w:rPr>
        <w:t>Millions of households across the UK will benefit from a new £15 billion package of targeted government support to help with the rising cost of living, the Chancellor announced today (26 May).</w:t>
      </w:r>
    </w:p>
    <w:p w14:paraId="7EEB9247" w14:textId="77777777" w:rsidR="004C4726" w:rsidRDefault="004C4726" w:rsidP="004C4726">
      <w:pPr>
        <w:rPr>
          <w:lang w:val="en"/>
        </w:rPr>
      </w:pPr>
    </w:p>
    <w:p w14:paraId="5B72D76E" w14:textId="7CC078EA" w:rsidR="004C4726" w:rsidRDefault="004C4726" w:rsidP="004C4726">
      <w:pPr>
        <w:rPr>
          <w:lang w:val="en"/>
        </w:rPr>
      </w:pPr>
      <w:r>
        <w:rPr>
          <w:lang w:val="en"/>
        </w:rPr>
        <w:t>Here the key changes that will be of interest to blind and partially sighted people:</w:t>
      </w:r>
    </w:p>
    <w:p w14:paraId="75EB93AC" w14:textId="77777777" w:rsidR="004C4726" w:rsidRDefault="004C4726" w:rsidP="004C4726">
      <w:pPr>
        <w:rPr>
          <w:lang w:val="en"/>
        </w:rPr>
      </w:pPr>
    </w:p>
    <w:p w14:paraId="5FBF7179" w14:textId="26307233" w:rsidR="004C4726" w:rsidRDefault="004C4726" w:rsidP="004C4726">
      <w:pPr>
        <w:rPr>
          <w:lang w:val="en"/>
        </w:rPr>
      </w:pPr>
      <w:r>
        <w:rPr>
          <w:b/>
          <w:bCs/>
          <w:lang w:val="en"/>
        </w:rPr>
        <w:t xml:space="preserve">All households will get £400 of support with their energy bills through an expansion of the Energy Bills Support Scheme. </w:t>
      </w:r>
      <w:r>
        <w:rPr>
          <w:lang w:val="en"/>
        </w:rPr>
        <w:t>Instead of the planned £200 off bills which had to be repaid through higher bills over five years, this will now be a £400 payment will now be made as a grant. Energy suppliers will deliver this support to households with a domestic electricity meter over six months from October. Direct debit and credit customers will have the money credited to their account, while customers with pre-payment meters will have the money applied to their meter or paid via a voucher.</w:t>
      </w:r>
    </w:p>
    <w:p w14:paraId="2B99D988" w14:textId="77777777" w:rsidR="004C4726" w:rsidRDefault="004C4726" w:rsidP="004C4726">
      <w:pPr>
        <w:rPr>
          <w:lang w:val="en"/>
        </w:rPr>
      </w:pPr>
    </w:p>
    <w:p w14:paraId="4E7118FB" w14:textId="1BE57E54" w:rsidR="004C4726" w:rsidRDefault="004C4726" w:rsidP="004C4726">
      <w:pPr>
        <w:rPr>
          <w:lang w:val="en"/>
        </w:rPr>
      </w:pPr>
      <w:r>
        <w:rPr>
          <w:b/>
          <w:bCs/>
          <w:lang w:val="en"/>
        </w:rPr>
        <w:t xml:space="preserve">More than 8 million households on means tested benefits will receive a payment of £650 this year, made in two instalments. </w:t>
      </w:r>
      <w:r>
        <w:rPr>
          <w:lang w:val="en"/>
        </w:rPr>
        <w:t xml:space="preserve">This includes all households receiving the following benefits: Universal Credit, Income-based Jobseekers Allowance, Income-related Employment and Support Allowance, Income Support, Working Tax Credit, Child Tax </w:t>
      </w:r>
      <w:r>
        <w:rPr>
          <w:lang w:val="en"/>
        </w:rPr>
        <w:lastRenderedPageBreak/>
        <w:t>Credit, Pension Credit. DWP will make the payment in two lump sums – the first from July, the second in the autumn. Payments from HMRC for those on tax credits only will follow shortly after each to avoid duplicate payments.</w:t>
      </w:r>
      <w:r>
        <w:t xml:space="preserve"> </w:t>
      </w:r>
      <w:r>
        <w:rPr>
          <w:lang w:val="en"/>
        </w:rPr>
        <w:t xml:space="preserve">Claimants will need to be in receipt of one of these benefits, or have begun a claim which is later successful, as of 25th May 2022 to be eligible for the first of the two instalments. </w:t>
      </w:r>
    </w:p>
    <w:p w14:paraId="69707AD7" w14:textId="77777777" w:rsidR="004C4726" w:rsidRDefault="004C4726" w:rsidP="004C4726">
      <w:pPr>
        <w:rPr>
          <w:b/>
          <w:bCs/>
        </w:rPr>
      </w:pPr>
    </w:p>
    <w:p w14:paraId="63D82FD8" w14:textId="10495C8E" w:rsidR="004C4726" w:rsidRDefault="004C4726" w:rsidP="004C4726">
      <w:r>
        <w:rPr>
          <w:b/>
          <w:bCs/>
        </w:rPr>
        <w:t xml:space="preserve">Pensioner households will receive an extra £300 this year to help them cover the rising cost of energy this winter. </w:t>
      </w:r>
      <w:r>
        <w:t>This additional one-off payment will go to the over 8 million pensioner households across the UK who receive the Winter Fuel Payment and will be paid on top of any other one-off support a pensioner household is entitled to, for example where they are on pension credit or receive disability benefits. All pensioner households will get the one-off Pensioner Cost of Living Payment as a top-up to their annual Winter Fuel Payment in November/December. For most pensioner households, this will be paid by direct debit.</w:t>
      </w:r>
    </w:p>
    <w:p w14:paraId="2E6DFC2D" w14:textId="77777777" w:rsidR="004C4726" w:rsidRDefault="004C4726" w:rsidP="004C4726">
      <w:pPr>
        <w:rPr>
          <w:b/>
          <w:bCs/>
        </w:rPr>
      </w:pPr>
    </w:p>
    <w:p w14:paraId="77B0696D" w14:textId="4EC67471" w:rsidR="004C4726" w:rsidRDefault="004C4726" w:rsidP="004C4726">
      <w:r>
        <w:rPr>
          <w:b/>
          <w:bCs/>
        </w:rPr>
        <w:t>Around six million people across the UK who receive the following disability benefits will receive a one-off payment of £150 in September</w:t>
      </w:r>
      <w:r>
        <w:t>: Disability Living Allowance, Personal Independence Payment, Attendance Allowance, Scottish Disability Benefits, Armed Forces Independence Payment, Constant Attendance Allowance, War Pension Mobility Supplement. For the many disability benefit recipients who receive means tested benefits, this £150 will come on top of any other payments they may be eligible for listed above.</w:t>
      </w:r>
    </w:p>
    <w:p w14:paraId="04404197" w14:textId="77777777" w:rsidR="004C4726" w:rsidRDefault="004C4726" w:rsidP="004C4726"/>
    <w:p w14:paraId="45C97362" w14:textId="758CFB23" w:rsidR="004C4726" w:rsidRDefault="004C4726" w:rsidP="004C4726">
      <w:r>
        <w:t>All these payments will be tax free and exempt from the benefits cap.</w:t>
      </w:r>
    </w:p>
    <w:p w14:paraId="3C8B5F62" w14:textId="49D6FB35" w:rsidR="00E02104" w:rsidRDefault="00E02104" w:rsidP="004C4726"/>
    <w:p w14:paraId="2469A00D" w14:textId="5CBD99D4" w:rsidR="00E02104" w:rsidRDefault="00E02104" w:rsidP="00E02104">
      <w:pPr>
        <w:shd w:val="clear" w:color="auto" w:fill="FFFFFF"/>
        <w:spacing w:after="75" w:line="240" w:lineRule="auto"/>
        <w:rPr>
          <w:rFonts w:eastAsia="Times New Roman" w:cs="Arial"/>
          <w:color w:val="0B0C0C"/>
          <w:sz w:val="29"/>
          <w:szCs w:val="29"/>
          <w:lang w:eastAsia="en-GB"/>
        </w:rPr>
      </w:pPr>
      <w:r>
        <w:rPr>
          <w:rFonts w:eastAsia="Times New Roman" w:cs="Arial"/>
          <w:color w:val="0B0C0C"/>
          <w:sz w:val="29"/>
          <w:szCs w:val="29"/>
          <w:lang w:eastAsia="en-GB"/>
        </w:rPr>
        <w:lastRenderedPageBreak/>
        <w:t xml:space="preserve">Earlier in the year, the government also announced a </w:t>
      </w:r>
      <w:r w:rsidRPr="00E02104">
        <w:rPr>
          <w:rFonts w:eastAsia="Times New Roman" w:cs="Arial"/>
          <w:b/>
          <w:bCs/>
          <w:color w:val="0B0C0C"/>
          <w:sz w:val="29"/>
          <w:szCs w:val="29"/>
          <w:lang w:eastAsia="en-GB"/>
        </w:rPr>
        <w:t>£150 Council Tax rebate for households in England in Council Tax bands A-D</w:t>
      </w:r>
      <w:r>
        <w:rPr>
          <w:rFonts w:eastAsia="Times New Roman" w:cs="Arial"/>
          <w:color w:val="0B0C0C"/>
          <w:sz w:val="29"/>
          <w:szCs w:val="29"/>
          <w:lang w:eastAsia="en-GB"/>
        </w:rPr>
        <w:t>. This is handled by local councils and millions of households have already received this payment.</w:t>
      </w:r>
    </w:p>
    <w:p w14:paraId="70C34CE1" w14:textId="0F693F0A" w:rsidR="00E02104" w:rsidRDefault="00E02104" w:rsidP="00E02104">
      <w:pPr>
        <w:shd w:val="clear" w:color="auto" w:fill="FFFFFF"/>
        <w:spacing w:after="75" w:line="240" w:lineRule="auto"/>
        <w:rPr>
          <w:rFonts w:eastAsia="Times New Roman" w:cs="Arial"/>
          <w:color w:val="0B0C0C"/>
          <w:sz w:val="29"/>
          <w:szCs w:val="29"/>
          <w:lang w:eastAsia="en-GB"/>
        </w:rPr>
      </w:pPr>
    </w:p>
    <w:p w14:paraId="770FAE90" w14:textId="58C15FD9" w:rsidR="003B12EC" w:rsidRDefault="00E02104" w:rsidP="00E02104">
      <w:pPr>
        <w:shd w:val="clear" w:color="auto" w:fill="FFFFFF"/>
        <w:spacing w:after="75" w:line="240" w:lineRule="auto"/>
        <w:rPr>
          <w:rFonts w:eastAsia="Times New Roman" w:cs="Arial"/>
          <w:color w:val="0B0C0C"/>
          <w:sz w:val="29"/>
          <w:szCs w:val="29"/>
          <w:lang w:eastAsia="en-GB"/>
        </w:rPr>
      </w:pPr>
      <w:r>
        <w:rPr>
          <w:rFonts w:eastAsia="Times New Roman" w:cs="Arial"/>
          <w:color w:val="0B0C0C"/>
          <w:sz w:val="29"/>
          <w:szCs w:val="29"/>
          <w:lang w:eastAsia="en-GB"/>
        </w:rPr>
        <w:t xml:space="preserve">In addition, the government has provided funding to local councils to deliver a </w:t>
      </w:r>
      <w:r w:rsidRPr="00AC6886">
        <w:rPr>
          <w:rFonts w:eastAsia="Times New Roman" w:cs="Arial"/>
          <w:b/>
          <w:bCs/>
          <w:color w:val="0B0C0C"/>
          <w:sz w:val="29"/>
          <w:szCs w:val="29"/>
          <w:lang w:eastAsia="en-GB"/>
        </w:rPr>
        <w:t>Household Support Fund</w:t>
      </w:r>
      <w:r>
        <w:rPr>
          <w:rFonts w:eastAsia="Times New Roman" w:cs="Arial"/>
          <w:color w:val="0B0C0C"/>
          <w:sz w:val="29"/>
          <w:szCs w:val="29"/>
          <w:lang w:eastAsia="en-GB"/>
        </w:rPr>
        <w:t xml:space="preserve">. This </w:t>
      </w:r>
      <w:r w:rsidRPr="00E02104">
        <w:rPr>
          <w:rFonts w:eastAsia="Times New Roman" w:cs="Arial"/>
          <w:color w:val="0B0C0C"/>
          <w:sz w:val="29"/>
          <w:szCs w:val="29"/>
          <w:lang w:eastAsia="en-GB"/>
        </w:rPr>
        <w:t xml:space="preserve">is administered by local councils in England and further information </w:t>
      </w:r>
      <w:r>
        <w:rPr>
          <w:rFonts w:eastAsia="Times New Roman" w:cs="Arial"/>
          <w:color w:val="0B0C0C"/>
          <w:sz w:val="29"/>
          <w:szCs w:val="29"/>
          <w:lang w:eastAsia="en-GB"/>
        </w:rPr>
        <w:t>is</w:t>
      </w:r>
      <w:r w:rsidRPr="00E02104">
        <w:rPr>
          <w:rFonts w:eastAsia="Times New Roman" w:cs="Arial"/>
          <w:color w:val="0B0C0C"/>
          <w:sz w:val="29"/>
          <w:szCs w:val="29"/>
          <w:lang w:eastAsia="en-GB"/>
        </w:rPr>
        <w:t xml:space="preserve"> available directly from </w:t>
      </w:r>
      <w:r>
        <w:rPr>
          <w:rFonts w:eastAsia="Times New Roman" w:cs="Arial"/>
          <w:color w:val="0B0C0C"/>
          <w:sz w:val="29"/>
          <w:szCs w:val="29"/>
          <w:lang w:eastAsia="en-GB"/>
        </w:rPr>
        <w:t>your local council on any hardship support that may be available.</w:t>
      </w:r>
    </w:p>
    <w:p w14:paraId="0D86F6CE" w14:textId="0DB6F0B1" w:rsidR="00A70844" w:rsidRDefault="00A70844" w:rsidP="00E02104">
      <w:pPr>
        <w:shd w:val="clear" w:color="auto" w:fill="FFFFFF"/>
        <w:spacing w:after="75" w:line="240" w:lineRule="auto"/>
        <w:rPr>
          <w:rFonts w:eastAsia="Times New Roman" w:cs="Arial"/>
          <w:color w:val="0B0C0C"/>
          <w:sz w:val="29"/>
          <w:szCs w:val="29"/>
          <w:lang w:eastAsia="en-GB"/>
        </w:rPr>
      </w:pPr>
    </w:p>
    <w:p w14:paraId="3E3C5E17" w14:textId="6B96E751" w:rsidR="00A70844" w:rsidRDefault="00A70844" w:rsidP="00E02104">
      <w:pPr>
        <w:shd w:val="clear" w:color="auto" w:fill="FFFFFF"/>
        <w:spacing w:after="75" w:line="240" w:lineRule="auto"/>
        <w:rPr>
          <w:rFonts w:eastAsia="Times New Roman" w:cs="Arial"/>
          <w:color w:val="0B0C0C"/>
          <w:sz w:val="29"/>
          <w:szCs w:val="29"/>
          <w:lang w:eastAsia="en-GB"/>
        </w:rPr>
      </w:pPr>
    </w:p>
    <w:p w14:paraId="1734F48E" w14:textId="7B4F4FBB" w:rsidR="00A70844" w:rsidRDefault="00A70844" w:rsidP="00A70844">
      <w:pPr>
        <w:shd w:val="clear" w:color="auto" w:fill="FFFFFF"/>
        <w:spacing w:after="75" w:line="240" w:lineRule="auto"/>
        <w:jc w:val="right"/>
        <w:rPr>
          <w:rFonts w:eastAsia="Times New Roman" w:cs="Arial"/>
          <w:color w:val="0B0C0C"/>
          <w:sz w:val="29"/>
          <w:szCs w:val="29"/>
          <w:lang w:eastAsia="en-GB"/>
        </w:rPr>
      </w:pPr>
      <w:r>
        <w:rPr>
          <w:rFonts w:eastAsia="Times New Roman" w:cs="Arial"/>
          <w:color w:val="0B0C0C"/>
          <w:sz w:val="29"/>
          <w:szCs w:val="29"/>
          <w:lang w:eastAsia="en-GB"/>
        </w:rPr>
        <w:t>Public Affairs and Campaigns Team</w:t>
      </w:r>
    </w:p>
    <w:p w14:paraId="68EBFE2D" w14:textId="510B4629" w:rsidR="00A70844" w:rsidRDefault="00A70844" w:rsidP="00A70844">
      <w:pPr>
        <w:shd w:val="clear" w:color="auto" w:fill="FFFFFF"/>
        <w:spacing w:after="75" w:line="240" w:lineRule="auto"/>
        <w:jc w:val="right"/>
        <w:rPr>
          <w:rFonts w:eastAsia="Times New Roman" w:cs="Arial"/>
          <w:color w:val="0B0C0C"/>
          <w:sz w:val="29"/>
          <w:szCs w:val="29"/>
          <w:lang w:eastAsia="en-GB"/>
        </w:rPr>
      </w:pPr>
      <w:r>
        <w:rPr>
          <w:rFonts w:eastAsia="Times New Roman" w:cs="Arial"/>
          <w:color w:val="0B0C0C"/>
          <w:sz w:val="29"/>
          <w:szCs w:val="29"/>
          <w:lang w:eastAsia="en-GB"/>
        </w:rPr>
        <w:t>Thomas Pocklington Trust</w:t>
      </w:r>
    </w:p>
    <w:p w14:paraId="388F829D" w14:textId="27B5269C" w:rsidR="00A70844" w:rsidRPr="00E02104" w:rsidRDefault="00A70844" w:rsidP="00A70844">
      <w:pPr>
        <w:shd w:val="clear" w:color="auto" w:fill="FFFFFF"/>
        <w:spacing w:after="75" w:line="240" w:lineRule="auto"/>
        <w:jc w:val="right"/>
        <w:rPr>
          <w:rFonts w:eastAsia="Times New Roman" w:cs="Arial"/>
          <w:color w:val="0B0C0C"/>
          <w:sz w:val="29"/>
          <w:szCs w:val="29"/>
          <w:lang w:eastAsia="en-GB"/>
        </w:rPr>
      </w:pPr>
      <w:r>
        <w:rPr>
          <w:rFonts w:eastAsia="Times New Roman" w:cs="Arial"/>
          <w:color w:val="0B0C0C"/>
          <w:sz w:val="29"/>
          <w:szCs w:val="29"/>
          <w:lang w:eastAsia="en-GB"/>
        </w:rPr>
        <w:t>May 2022</w:t>
      </w:r>
    </w:p>
    <w:sectPr w:rsidR="00A70844" w:rsidRPr="00E02104" w:rsidSect="003B12EC">
      <w:footerReference w:type="even" r:id="rId8"/>
      <w:footerReference w:type="default" r:id="rId9"/>
      <w:headerReference w:type="first" r:id="rId10"/>
      <w:footerReference w:type="first" r:id="rId11"/>
      <w:pgSz w:w="11906" w:h="16838"/>
      <w:pgMar w:top="1440" w:right="1440" w:bottom="1440" w:left="1440"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5EB4" w14:textId="77777777" w:rsidR="00C019DF" w:rsidRDefault="00C019DF" w:rsidP="003822A4">
      <w:pPr>
        <w:spacing w:line="240" w:lineRule="auto"/>
      </w:pPr>
      <w:r>
        <w:separator/>
      </w:r>
    </w:p>
  </w:endnote>
  <w:endnote w:type="continuationSeparator" w:id="0">
    <w:p w14:paraId="77FC8F0B" w14:textId="77777777" w:rsidR="00C019DF" w:rsidRDefault="00C019DF" w:rsidP="0038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32894"/>
      <w:docPartObj>
        <w:docPartGallery w:val="Page Numbers (Bottom of Page)"/>
        <w:docPartUnique/>
      </w:docPartObj>
    </w:sdtPr>
    <w:sdtEndPr>
      <w:rPr>
        <w:noProof/>
      </w:rPr>
    </w:sdtEndPr>
    <w:sdtContent>
      <w:p w14:paraId="3D525CDC" w14:textId="7CF9AE2D" w:rsidR="00EF1813" w:rsidRDefault="00EF181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73564"/>
      <w:docPartObj>
        <w:docPartGallery w:val="Page Numbers (Bottom of Page)"/>
        <w:docPartUnique/>
      </w:docPartObj>
    </w:sdtPr>
    <w:sdtEndPr>
      <w:rPr>
        <w:noProof/>
      </w:rPr>
    </w:sdtEndPr>
    <w:sdtContent>
      <w:p w14:paraId="60C9E3BB" w14:textId="66B1398F" w:rsidR="00EF1813" w:rsidRDefault="00EF1813" w:rsidP="00E44C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57467"/>
      <w:docPartObj>
        <w:docPartGallery w:val="Page Numbers (Bottom of Page)"/>
        <w:docPartUnique/>
      </w:docPartObj>
    </w:sdtPr>
    <w:sdtEndPr>
      <w:rPr>
        <w:noProof/>
      </w:rPr>
    </w:sdtEndPr>
    <w:sdtContent>
      <w:p w14:paraId="7347B734" w14:textId="534B6C0F" w:rsidR="00EF1813" w:rsidRDefault="00EF1813" w:rsidP="003B12EC">
        <w:pPr>
          <w:pStyle w:val="Footer"/>
          <w:tabs>
            <w:tab w:val="clear" w:pos="9026"/>
          </w:tabs>
          <w:ind w:right="-613"/>
          <w:jc w:val="right"/>
        </w:pPr>
        <w:r>
          <w:t>Clear print 14pt. Alternative format available upon request.</w:t>
        </w:r>
      </w:p>
    </w:sdtContent>
  </w:sdt>
  <w:p w14:paraId="76E33931" w14:textId="77777777" w:rsidR="00EF1813" w:rsidRDefault="00EF1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BAC1" w14:textId="77777777" w:rsidR="00C019DF" w:rsidRDefault="00C019DF" w:rsidP="003822A4">
      <w:pPr>
        <w:spacing w:line="240" w:lineRule="auto"/>
      </w:pPr>
      <w:r>
        <w:separator/>
      </w:r>
    </w:p>
  </w:footnote>
  <w:footnote w:type="continuationSeparator" w:id="0">
    <w:p w14:paraId="2A08E04A" w14:textId="77777777" w:rsidR="00C019DF" w:rsidRDefault="00C019DF" w:rsidP="0038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0606" w14:textId="1FB00DA4" w:rsidR="00EF1813" w:rsidRDefault="00EF1813" w:rsidP="003B12EC">
    <w:pPr>
      <w:pStyle w:val="Header"/>
      <w:tabs>
        <w:tab w:val="clear" w:pos="9026"/>
        <w:tab w:val="right" w:pos="8364"/>
      </w:tabs>
      <w:ind w:right="-755"/>
      <w:jc w:val="right"/>
    </w:pPr>
    <w:r>
      <w:rPr>
        <w:noProof/>
      </w:rPr>
      <w:drawing>
        <wp:inline distT="0" distB="0" distL="0" distR="0" wp14:anchorId="400810EA" wp14:editId="438BD60D">
          <wp:extent cx="1750072" cy="1077117"/>
          <wp:effectExtent l="0" t="0" r="2540" b="8890"/>
          <wp:docPr id="18" name="Picture 18" descr="Thomas Pocklington Trust logo; Large TPT letters with the words Thomas Pocklington Trust underneath enclosed in a rectangle. Letters, words and the rectangle border are a dark blue. Within the P of TPT is a small round eye looking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0238" cy="1120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E70AD5"/>
    <w:multiLevelType w:val="multilevel"/>
    <w:tmpl w:val="733A06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abstractNum w:abstractNumId="13" w15:restartNumberingAfterBreak="0">
    <w:nsid w:val="57214779"/>
    <w:multiLevelType w:val="multilevel"/>
    <w:tmpl w:val="71B6D2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FE3E49"/>
    <w:multiLevelType w:val="multilevel"/>
    <w:tmpl w:val="6664A2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44088"/>
    <w:multiLevelType w:val="multilevel"/>
    <w:tmpl w:val="CD165A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097FF5"/>
    <w:multiLevelType w:val="multilevel"/>
    <w:tmpl w:val="7A8607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6C52DE"/>
    <w:multiLevelType w:val="multilevel"/>
    <w:tmpl w:val="8BCEC3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E77EB6"/>
    <w:multiLevelType w:val="multilevel"/>
    <w:tmpl w:val="DE6465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0B45C7"/>
    <w:multiLevelType w:val="multilevel"/>
    <w:tmpl w:val="5CDCC5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300156963">
    <w:abstractNumId w:val="9"/>
  </w:num>
  <w:num w:numId="2" w16cid:durableId="1374963555">
    <w:abstractNumId w:val="7"/>
  </w:num>
  <w:num w:numId="3" w16cid:durableId="1268198067">
    <w:abstractNumId w:val="6"/>
  </w:num>
  <w:num w:numId="4" w16cid:durableId="2134253499">
    <w:abstractNumId w:val="5"/>
  </w:num>
  <w:num w:numId="5" w16cid:durableId="795563294">
    <w:abstractNumId w:val="4"/>
  </w:num>
  <w:num w:numId="6" w16cid:durableId="1847400359">
    <w:abstractNumId w:val="8"/>
  </w:num>
  <w:num w:numId="7" w16cid:durableId="1017660469">
    <w:abstractNumId w:val="3"/>
  </w:num>
  <w:num w:numId="8" w16cid:durableId="1764954657">
    <w:abstractNumId w:val="2"/>
  </w:num>
  <w:num w:numId="9" w16cid:durableId="598104997">
    <w:abstractNumId w:val="1"/>
  </w:num>
  <w:num w:numId="10" w16cid:durableId="1487816403">
    <w:abstractNumId w:val="0"/>
  </w:num>
  <w:num w:numId="11" w16cid:durableId="1375230582">
    <w:abstractNumId w:val="12"/>
  </w:num>
  <w:num w:numId="12" w16cid:durableId="1526600398">
    <w:abstractNumId w:val="11"/>
  </w:num>
  <w:num w:numId="13" w16cid:durableId="1359115369">
    <w:abstractNumId w:val="14"/>
  </w:num>
  <w:num w:numId="14" w16cid:durableId="792023310">
    <w:abstractNumId w:val="18"/>
  </w:num>
  <w:num w:numId="15" w16cid:durableId="960888989">
    <w:abstractNumId w:val="10"/>
  </w:num>
  <w:num w:numId="16" w16cid:durableId="940379453">
    <w:abstractNumId w:val="13"/>
  </w:num>
  <w:num w:numId="17" w16cid:durableId="1365255195">
    <w:abstractNumId w:val="19"/>
  </w:num>
  <w:num w:numId="18" w16cid:durableId="1589540763">
    <w:abstractNumId w:val="16"/>
  </w:num>
  <w:num w:numId="19" w16cid:durableId="668603390">
    <w:abstractNumId w:val="15"/>
  </w:num>
  <w:num w:numId="20" w16cid:durableId="1124270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EC"/>
    <w:rsid w:val="00181FDD"/>
    <w:rsid w:val="00201B0D"/>
    <w:rsid w:val="00257D0F"/>
    <w:rsid w:val="00276DA2"/>
    <w:rsid w:val="00291D3E"/>
    <w:rsid w:val="00347A77"/>
    <w:rsid w:val="003822A4"/>
    <w:rsid w:val="003B12EC"/>
    <w:rsid w:val="003D76BE"/>
    <w:rsid w:val="003F012A"/>
    <w:rsid w:val="00421A88"/>
    <w:rsid w:val="004C4726"/>
    <w:rsid w:val="004E299E"/>
    <w:rsid w:val="004F02A2"/>
    <w:rsid w:val="00585C5B"/>
    <w:rsid w:val="005C5259"/>
    <w:rsid w:val="00624314"/>
    <w:rsid w:val="00632CED"/>
    <w:rsid w:val="0076230B"/>
    <w:rsid w:val="0077642E"/>
    <w:rsid w:val="007A59A3"/>
    <w:rsid w:val="007E029E"/>
    <w:rsid w:val="007E1686"/>
    <w:rsid w:val="008561E5"/>
    <w:rsid w:val="00987B7E"/>
    <w:rsid w:val="00A05E0F"/>
    <w:rsid w:val="00A11BEC"/>
    <w:rsid w:val="00A706DE"/>
    <w:rsid w:val="00A70844"/>
    <w:rsid w:val="00AC6886"/>
    <w:rsid w:val="00BA615E"/>
    <w:rsid w:val="00BF5D4C"/>
    <w:rsid w:val="00C019DF"/>
    <w:rsid w:val="00CE17F9"/>
    <w:rsid w:val="00D00933"/>
    <w:rsid w:val="00D324E7"/>
    <w:rsid w:val="00DB4CE4"/>
    <w:rsid w:val="00DD44D1"/>
    <w:rsid w:val="00E02104"/>
    <w:rsid w:val="00E44C38"/>
    <w:rsid w:val="00EF1813"/>
    <w:rsid w:val="00F40DBD"/>
    <w:rsid w:val="00F90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939C1"/>
  <w15:chartTrackingRefBased/>
  <w15:docId w15:val="{61FC0BE5-F1EE-4F27-AD4A-E9BE6BD9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BD"/>
    <w:pPr>
      <w:spacing w:after="0" w:line="360" w:lineRule="auto"/>
    </w:pPr>
  </w:style>
  <w:style w:type="paragraph" w:styleId="Heading1">
    <w:name w:val="heading 1"/>
    <w:basedOn w:val="Normal"/>
    <w:next w:val="Normal"/>
    <w:link w:val="Heading1Char"/>
    <w:uiPriority w:val="9"/>
    <w:qFormat/>
    <w:rsid w:val="00EF1813"/>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F1813"/>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uiPriority w:val="9"/>
    <w:rsid w:val="00EF1813"/>
    <w:rPr>
      <w:rFonts w:eastAsiaTheme="majorEastAsia" w:cstheme="majorBidi"/>
      <w:b/>
      <w:sz w:val="36"/>
      <w:szCs w:val="32"/>
    </w:rPr>
  </w:style>
  <w:style w:type="character" w:customStyle="1" w:styleId="Heading2Char">
    <w:name w:val="Heading 2 Char"/>
    <w:basedOn w:val="DefaultParagraphFont"/>
    <w:link w:val="Heading2"/>
    <w:uiPriority w:val="9"/>
    <w:rsid w:val="00EF1813"/>
    <w:rPr>
      <w:rFonts w:eastAsiaTheme="majorEastAsia" w:cstheme="majorBidi"/>
      <w:b/>
      <w:sz w:val="32"/>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paragraph" w:styleId="FootnoteText">
    <w:name w:val="footnote text"/>
    <w:basedOn w:val="Normal"/>
    <w:link w:val="FootnoteTextChar"/>
    <w:uiPriority w:val="99"/>
    <w:semiHidden/>
    <w:unhideWhenUsed/>
    <w:rsid w:val="007A59A3"/>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A59A3"/>
    <w:rPr>
      <w:rFonts w:asciiTheme="minorHAnsi" w:hAnsiTheme="minorHAnsi"/>
      <w:sz w:val="20"/>
      <w:szCs w:val="20"/>
    </w:rPr>
  </w:style>
  <w:style w:type="character" w:styleId="FootnoteReference">
    <w:name w:val="footnote reference"/>
    <w:basedOn w:val="DefaultParagraphFont"/>
    <w:uiPriority w:val="99"/>
    <w:semiHidden/>
    <w:unhideWhenUsed/>
    <w:rsid w:val="007A59A3"/>
    <w:rPr>
      <w:vertAlign w:val="superscript"/>
    </w:rPr>
  </w:style>
  <w:style w:type="character" w:styleId="Hyperlink">
    <w:name w:val="Hyperlink"/>
    <w:basedOn w:val="DefaultParagraphFont"/>
    <w:uiPriority w:val="99"/>
    <w:semiHidden/>
    <w:unhideWhenUsed/>
    <w:rsid w:val="007A59A3"/>
    <w:rPr>
      <w:color w:val="0000FF"/>
      <w:u w:val="single"/>
    </w:rPr>
  </w:style>
  <w:style w:type="paragraph" w:styleId="NormalWeb">
    <w:name w:val="Normal (Web)"/>
    <w:basedOn w:val="Normal"/>
    <w:uiPriority w:val="99"/>
    <w:semiHidden/>
    <w:unhideWhenUsed/>
    <w:rsid w:val="007A59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3">
    <w:name w:val="xp3"/>
    <w:basedOn w:val="Normal"/>
    <w:uiPriority w:val="99"/>
    <w:semiHidden/>
    <w:rsid w:val="00987B7E"/>
    <w:pPr>
      <w:spacing w:before="100" w:beforeAutospacing="1" w:after="100" w:afterAutospacing="1" w:line="240" w:lineRule="auto"/>
    </w:pPr>
    <w:rPr>
      <w:rFonts w:ascii="Calibri" w:hAnsi="Calibri" w:cs="Calibri"/>
      <w:sz w:val="22"/>
      <w:szCs w:val="22"/>
      <w:lang w:eastAsia="en-GB"/>
    </w:rPr>
  </w:style>
  <w:style w:type="paragraph" w:customStyle="1" w:styleId="x">
    <w:name w:val="x"/>
    <w:basedOn w:val="Normal"/>
    <w:uiPriority w:val="99"/>
    <w:semiHidden/>
    <w:rsid w:val="00987B7E"/>
    <w:pPr>
      <w:spacing w:before="100" w:beforeAutospacing="1" w:after="100" w:afterAutospacing="1" w:line="240" w:lineRule="auto"/>
    </w:pPr>
    <w:rPr>
      <w:rFonts w:ascii="Calibri" w:hAnsi="Calibri" w:cs="Calibri"/>
      <w:sz w:val="22"/>
      <w:szCs w:val="22"/>
      <w:lang w:eastAsia="en-GB"/>
    </w:rPr>
  </w:style>
  <w:style w:type="paragraph" w:customStyle="1" w:styleId="control-group">
    <w:name w:val="control-group"/>
    <w:basedOn w:val="Normal"/>
    <w:uiPriority w:val="99"/>
    <w:semiHidden/>
    <w:rsid w:val="00987B7E"/>
    <w:pPr>
      <w:spacing w:before="100" w:beforeAutospacing="1" w:after="100" w:afterAutospacing="1" w:line="240" w:lineRule="auto"/>
    </w:pPr>
    <w:rPr>
      <w:rFonts w:ascii="Calibri" w:hAnsi="Calibri" w:cs="Calibri"/>
      <w:sz w:val="22"/>
      <w:szCs w:val="22"/>
      <w:lang w:eastAsia="en-GB"/>
    </w:rPr>
  </w:style>
  <w:style w:type="character" w:customStyle="1" w:styleId="controls">
    <w:name w:val="controls"/>
    <w:basedOn w:val="DefaultParagraphFont"/>
    <w:rsid w:val="00987B7E"/>
  </w:style>
  <w:style w:type="character" w:styleId="Strong">
    <w:name w:val="Strong"/>
    <w:basedOn w:val="DefaultParagraphFont"/>
    <w:uiPriority w:val="22"/>
    <w:qFormat/>
    <w:rsid w:val="00987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2286">
      <w:bodyDiv w:val="1"/>
      <w:marLeft w:val="0"/>
      <w:marRight w:val="0"/>
      <w:marTop w:val="0"/>
      <w:marBottom w:val="0"/>
      <w:divBdr>
        <w:top w:val="none" w:sz="0" w:space="0" w:color="auto"/>
        <w:left w:val="none" w:sz="0" w:space="0" w:color="auto"/>
        <w:bottom w:val="none" w:sz="0" w:space="0" w:color="auto"/>
        <w:right w:val="none" w:sz="0" w:space="0" w:color="auto"/>
      </w:divBdr>
    </w:div>
    <w:div w:id="784663644">
      <w:bodyDiv w:val="1"/>
      <w:marLeft w:val="0"/>
      <w:marRight w:val="0"/>
      <w:marTop w:val="0"/>
      <w:marBottom w:val="0"/>
      <w:divBdr>
        <w:top w:val="none" w:sz="0" w:space="0" w:color="auto"/>
        <w:left w:val="none" w:sz="0" w:space="0" w:color="auto"/>
        <w:bottom w:val="none" w:sz="0" w:space="0" w:color="auto"/>
        <w:right w:val="none" w:sz="0" w:space="0" w:color="auto"/>
      </w:divBdr>
    </w:div>
    <w:div w:id="11179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55CB-629F-4B0D-89A5-15A4BE6F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Clear print template</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Communications Team;Technology Services Team;People Development Team</dc:creator>
  <cp:keywords>Clear print, Template</cp:keywords>
  <dc:description/>
  <cp:lastModifiedBy>Mike Bell</cp:lastModifiedBy>
  <cp:revision>5</cp:revision>
  <dcterms:created xsi:type="dcterms:W3CDTF">2022-05-26T13:14:00Z</dcterms:created>
  <dcterms:modified xsi:type="dcterms:W3CDTF">2022-05-26T13:19:00Z</dcterms:modified>
</cp:coreProperties>
</file>